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CF" w:rsidRPr="00C95AA4" w:rsidRDefault="00403BCF" w:rsidP="00B36399">
      <w:pPr>
        <w:ind w:left="5664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95AA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D688B">
        <w:rPr>
          <w:rFonts w:asciiTheme="minorHAnsi" w:hAnsiTheme="minorHAnsi" w:cstheme="minorHAnsi"/>
          <w:b/>
          <w:sz w:val="22"/>
          <w:szCs w:val="22"/>
        </w:rPr>
        <w:t>2</w:t>
      </w:r>
      <w:r w:rsidRPr="00C95AA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403BCF" w:rsidRPr="00B36399" w:rsidRDefault="00403BCF" w:rsidP="00B36399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3BCF" w:rsidRPr="00B36399" w:rsidRDefault="00403BCF" w:rsidP="00B36399">
      <w:pPr>
        <w:pStyle w:val="Default"/>
        <w:spacing w:after="240"/>
        <w:jc w:val="center"/>
        <w:rPr>
          <w:rFonts w:asciiTheme="minorHAnsi" w:hAnsiTheme="minorHAnsi" w:cstheme="minorHAnsi"/>
          <w:color w:val="auto"/>
        </w:rPr>
      </w:pPr>
      <w:r w:rsidRPr="00B36399">
        <w:rPr>
          <w:rFonts w:asciiTheme="minorHAnsi" w:hAnsiTheme="minorHAnsi" w:cstheme="minorHAnsi"/>
          <w:b/>
          <w:bCs/>
          <w:color w:val="auto"/>
        </w:rPr>
        <w:t>PROJEKTOWANE POSTANOWIENIA UMOWY W SPRAWIE ZAMÓWIENIA PUBLICZNEGO</w:t>
      </w:r>
    </w:p>
    <w:p w:rsidR="00403BCF" w:rsidRPr="00B36399" w:rsidRDefault="00403BCF" w:rsidP="00B363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color w:val="auto"/>
          <w:sz w:val="22"/>
          <w:szCs w:val="22"/>
        </w:rPr>
        <w:t>zawarta w dniu…………………. pomiędzy stronami:</w:t>
      </w:r>
    </w:p>
    <w:p w:rsidR="00B36399" w:rsidRDefault="00B36399" w:rsidP="00B3639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3BCF" w:rsidRPr="00B36399" w:rsidRDefault="00403BCF" w:rsidP="00B363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403BCF" w:rsidRPr="00B36399" w:rsidRDefault="00403BCF" w:rsidP="00B36399">
      <w:pPr>
        <w:rPr>
          <w:rFonts w:asciiTheme="minorHAnsi" w:hAnsiTheme="minorHAnsi" w:cstheme="minorHAnsi"/>
          <w:b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1. Jarosława Grabczyńskiego - Burmistrza Chodcza,</w:t>
      </w:r>
    </w:p>
    <w:p w:rsidR="00403BCF" w:rsidRPr="00B36399" w:rsidRDefault="00403BCF" w:rsidP="00B36399">
      <w:pPr>
        <w:rPr>
          <w:rFonts w:asciiTheme="minorHAnsi" w:hAnsiTheme="minorHAnsi" w:cstheme="minorHAnsi"/>
          <w:b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2.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b/>
          <w:sz w:val="22"/>
          <w:szCs w:val="22"/>
        </w:rPr>
        <w:t xml:space="preserve">Monikę Matuszewską – Skarbnika Miasta i Gminy Chodecz </w:t>
      </w:r>
    </w:p>
    <w:p w:rsidR="00403BCF" w:rsidRPr="00B36399" w:rsidRDefault="00403BCF" w:rsidP="00B36399">
      <w:pPr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zwaną w dalszej treści umowy </w:t>
      </w:r>
      <w:r w:rsidRPr="00455899">
        <w:rPr>
          <w:rFonts w:asciiTheme="minorHAnsi" w:hAnsiTheme="minorHAnsi" w:cstheme="minorHAnsi"/>
          <w:sz w:val="22"/>
          <w:szCs w:val="22"/>
        </w:rPr>
        <w:t>„</w:t>
      </w:r>
      <w:r w:rsidRPr="00455899">
        <w:rPr>
          <w:rFonts w:asciiTheme="minorHAnsi" w:hAnsiTheme="minorHAnsi" w:cstheme="minorHAnsi"/>
          <w:iCs/>
          <w:sz w:val="22"/>
          <w:szCs w:val="22"/>
        </w:rPr>
        <w:t>Zamawiającym</w:t>
      </w:r>
      <w:r w:rsidRPr="00455899">
        <w:rPr>
          <w:rFonts w:asciiTheme="minorHAnsi" w:hAnsiTheme="minorHAnsi" w:cstheme="minorHAnsi"/>
          <w:sz w:val="22"/>
          <w:szCs w:val="22"/>
        </w:rPr>
        <w:t>”,</w:t>
      </w:r>
    </w:p>
    <w:p w:rsidR="00403BCF" w:rsidRPr="00B36399" w:rsidRDefault="00403BCF" w:rsidP="00B36399">
      <w:pPr>
        <w:spacing w:before="240"/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 xml:space="preserve">a  </w:t>
      </w:r>
    </w:p>
    <w:p w:rsidR="00AC1199" w:rsidRPr="00B36399" w:rsidRDefault="00403BCF" w:rsidP="00AC1199">
      <w:pPr>
        <w:spacing w:before="240"/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>....................................... z siedzibą w ..........................................................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36399">
        <w:rPr>
          <w:rFonts w:asciiTheme="minorHAnsi" w:eastAsia="Times New Roman" w:hAnsiTheme="minorHAnsi" w:cstheme="minorHAnsi"/>
          <w:sz w:val="22"/>
          <w:szCs w:val="22"/>
        </w:rPr>
        <w:t>NIP:  ……………………………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>, Regon: ………………………………..</w:t>
      </w:r>
      <w:r w:rsidRPr="00B36399">
        <w:rPr>
          <w:rFonts w:asciiTheme="minorHAnsi" w:eastAsia="Times New Roman" w:hAnsiTheme="minorHAnsi" w:cstheme="minorHAnsi"/>
          <w:sz w:val="22"/>
          <w:szCs w:val="22"/>
        </w:rPr>
        <w:t>.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 xml:space="preserve">,  </w:t>
      </w:r>
      <w:r w:rsidR="00AC1199" w:rsidRPr="00B36399">
        <w:rPr>
          <w:rFonts w:asciiTheme="minorHAnsi" w:eastAsia="Times New Roman" w:hAnsiTheme="minorHAnsi" w:cstheme="minorHAnsi"/>
          <w:sz w:val="22"/>
          <w:szCs w:val="22"/>
        </w:rPr>
        <w:t>reprezentowaną przez:</w:t>
      </w:r>
    </w:p>
    <w:p w:rsidR="00AC1199" w:rsidRPr="00B36399" w:rsidRDefault="00AC1199" w:rsidP="00AC1199">
      <w:pPr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>……</w:t>
      </w:r>
      <w:r>
        <w:rPr>
          <w:rFonts w:asciiTheme="minorHAnsi" w:eastAsia="Times New Roman" w:hAnsiTheme="minorHAnsi" w:cstheme="minorHAnsi"/>
          <w:sz w:val="22"/>
          <w:szCs w:val="22"/>
        </w:rPr>
        <w:t>………….</w:t>
      </w:r>
      <w:r w:rsidRPr="00B36399">
        <w:rPr>
          <w:rFonts w:asciiTheme="minorHAnsi" w:eastAsia="Times New Roman" w:hAnsiTheme="minorHAnsi" w:cstheme="minorHAnsi"/>
          <w:sz w:val="22"/>
          <w:szCs w:val="22"/>
        </w:rPr>
        <w:t>………….- …………………………………</w:t>
      </w:r>
    </w:p>
    <w:p w:rsidR="00403BCF" w:rsidRPr="00B36399" w:rsidRDefault="00403BCF" w:rsidP="00B36399">
      <w:pPr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>zwaną dalej „Wykonawcą”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03BCF" w:rsidRPr="00B36399" w:rsidRDefault="00403BCF" w:rsidP="00B36399">
      <w:pPr>
        <w:rPr>
          <w:rFonts w:asciiTheme="minorHAnsi" w:hAnsiTheme="minorHAnsi" w:cstheme="minorHAnsi"/>
          <w:sz w:val="22"/>
          <w:szCs w:val="22"/>
        </w:rPr>
      </w:pPr>
    </w:p>
    <w:p w:rsidR="00403BCF" w:rsidRPr="00B36399" w:rsidRDefault="00403BCF" w:rsidP="00B36399">
      <w:pPr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zwana dalej </w:t>
      </w:r>
      <w:r w:rsidRPr="00B36399">
        <w:rPr>
          <w:rFonts w:asciiTheme="minorHAnsi" w:hAnsiTheme="minorHAnsi" w:cstheme="minorHAnsi"/>
          <w:b/>
          <w:sz w:val="22"/>
          <w:szCs w:val="22"/>
        </w:rPr>
        <w:t>„Umową”</w:t>
      </w:r>
      <w:r w:rsidRPr="00B36399">
        <w:rPr>
          <w:rFonts w:asciiTheme="minorHAnsi" w:hAnsiTheme="minorHAnsi" w:cstheme="minorHAnsi"/>
          <w:sz w:val="22"/>
          <w:szCs w:val="22"/>
        </w:rPr>
        <w:t xml:space="preserve"> w wyniku przeprowadzonego postępowania o udzielenie zamówienia klasycznego prowadzonego w trybie podstawowym bez przeprowadzenia negocjacji na podstawie art. 275 ust.1 ustawy z dnia 11 września 2019 r. Prawo zamówień publicznych </w:t>
      </w:r>
      <w:r w:rsidR="000B3509">
        <w:rPr>
          <w:rFonts w:ascii="Calibri" w:hAnsi="Calibri" w:cs="Calibri"/>
          <w:sz w:val="22"/>
          <w:szCs w:val="22"/>
        </w:rPr>
        <w:t>(Dz. U. z 2023 r. poz. 1605 ze zm.)</w:t>
      </w:r>
      <w:r w:rsidRPr="00B36399">
        <w:rPr>
          <w:rFonts w:asciiTheme="minorHAnsi" w:hAnsiTheme="minorHAnsi" w:cstheme="minorHAnsi"/>
          <w:sz w:val="22"/>
          <w:szCs w:val="22"/>
        </w:rPr>
        <w:t>, zwana dalej  „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” o następującej treści: </w:t>
      </w:r>
    </w:p>
    <w:p w:rsidR="00403BCF" w:rsidRPr="00B36399" w:rsidRDefault="00403BCF" w:rsidP="00B36399">
      <w:pPr>
        <w:pStyle w:val="Tytu"/>
        <w:tabs>
          <w:tab w:val="left" w:pos="426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="007E3EFE" w:rsidRPr="00B36399" w:rsidRDefault="007E3EFE" w:rsidP="00B36399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03BCF" w:rsidRPr="00B36399" w:rsidRDefault="00403BCF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 Przedmiot umowy i zasady realizacji</w:t>
      </w:r>
    </w:p>
    <w:p w:rsidR="00C95AA4" w:rsidRPr="00C95AA4" w:rsidRDefault="00C95AA4" w:rsidP="00C95AA4">
      <w:pPr>
        <w:pStyle w:val="Akapitzlist"/>
        <w:numPr>
          <w:ilvl w:val="0"/>
          <w:numId w:val="31"/>
        </w:numPr>
        <w:tabs>
          <w:tab w:val="left" w:pos="550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A33441">
        <w:rPr>
          <w:rFonts w:eastAsia="SimSun" w:cstheme="minorHAnsi"/>
          <w:bCs/>
        </w:rPr>
        <w:t xml:space="preserve">Przedmiotem zamówienia jest </w:t>
      </w:r>
      <w:r w:rsidRPr="00C95AA4">
        <w:rPr>
          <w:rFonts w:cstheme="minorHAnsi"/>
          <w:b/>
          <w:bCs/>
        </w:rPr>
        <w:t xml:space="preserve">zakup i </w:t>
      </w:r>
      <w:r w:rsidRPr="00C95AA4">
        <w:rPr>
          <w:rFonts w:eastAsia="SimSun" w:cstheme="minorHAnsi"/>
          <w:b/>
          <w:bCs/>
        </w:rPr>
        <w:t>d</w:t>
      </w:r>
      <w:r w:rsidRPr="00C95AA4">
        <w:rPr>
          <w:rFonts w:cstheme="minorHAnsi"/>
          <w:b/>
          <w:bCs/>
        </w:rPr>
        <w:t>ostawa oleju opałowego dla Szkoły Podstawowej im. Tadeusza Kościuszki w Chodczu w Chodczu</w:t>
      </w:r>
      <w:r w:rsidRPr="00C95AA4">
        <w:rPr>
          <w:rFonts w:cstheme="minorHAnsi"/>
          <w:b/>
        </w:rPr>
        <w:t xml:space="preserve"> w</w:t>
      </w:r>
      <w:r w:rsidRPr="00C95AA4">
        <w:rPr>
          <w:rFonts w:cstheme="minorHAnsi"/>
          <w:b/>
          <w:bCs/>
        </w:rPr>
        <w:t xml:space="preserve"> ilościach 80 000 litrów </w:t>
      </w:r>
      <w:r w:rsidRPr="00C95AA4">
        <w:rPr>
          <w:rFonts w:cstheme="minorHAnsi"/>
          <w:b/>
        </w:rPr>
        <w:t xml:space="preserve"> w sezonie grzewczym </w:t>
      </w:r>
      <w:r w:rsidR="00DD688B">
        <w:rPr>
          <w:rFonts w:cstheme="minorHAnsi"/>
          <w:b/>
        </w:rPr>
        <w:t>202</w:t>
      </w:r>
      <w:r w:rsidR="000B3509">
        <w:rPr>
          <w:rFonts w:cstheme="minorHAnsi"/>
          <w:b/>
        </w:rPr>
        <w:t>4</w:t>
      </w:r>
      <w:r w:rsidR="00DD688B">
        <w:rPr>
          <w:rFonts w:cstheme="minorHAnsi"/>
          <w:b/>
        </w:rPr>
        <w:t>/202</w:t>
      </w:r>
      <w:r w:rsidR="000B3509">
        <w:rPr>
          <w:rFonts w:cstheme="minorHAnsi"/>
          <w:b/>
        </w:rPr>
        <w:t>5</w:t>
      </w:r>
      <w:r w:rsidRPr="00C95AA4">
        <w:rPr>
          <w:rFonts w:cstheme="minorHAnsi"/>
          <w:b/>
        </w:rPr>
        <w:t>.</w:t>
      </w:r>
    </w:p>
    <w:p w:rsidR="00C95AA4" w:rsidRPr="00A33441" w:rsidRDefault="00C95AA4" w:rsidP="00C95AA4">
      <w:pPr>
        <w:pStyle w:val="Akapitzlist"/>
        <w:numPr>
          <w:ilvl w:val="0"/>
          <w:numId w:val="31"/>
        </w:numPr>
        <w:tabs>
          <w:tab w:val="left" w:pos="550"/>
        </w:tabs>
        <w:suppressAutoHyphens/>
        <w:spacing w:after="0" w:line="240" w:lineRule="auto"/>
        <w:jc w:val="both"/>
        <w:rPr>
          <w:rFonts w:cstheme="minorHAnsi"/>
          <w:kern w:val="24"/>
          <w:lang w:eastAsia="pl-PL"/>
        </w:rPr>
      </w:pPr>
      <w:r w:rsidRPr="00A33441">
        <w:rPr>
          <w:rFonts w:cstheme="minorHAnsi"/>
        </w:rPr>
        <w:t>Zamawiający zastrzega możliwość zmiany ilości dostarczanego oleju, w stosunku do ilości określonych w punkcie 1, z uwagi na uwarunkowania pogodowo – atmosferyczne bądź w wyniku innych czynników mających wpływ na zapotrzebowanie Zamawiającego w zakresie ilości dostaw oleju. W takim przypadku Wykonawcy nie przysługują wobec Zamawiającego roszczenia odszkodowawcze z tytułu zmiany zamówienia. Rozliczenie za dostawy będzie dokonywane zgodnie z rzeczywistą ilością dostarczonego oleju.</w:t>
      </w:r>
    </w:p>
    <w:p w:rsidR="00C95AA4" w:rsidRPr="002E1B51" w:rsidRDefault="00C95AA4" w:rsidP="00C95AA4">
      <w:pPr>
        <w:pStyle w:val="Akapitzlist"/>
        <w:numPr>
          <w:ilvl w:val="0"/>
          <w:numId w:val="31"/>
        </w:numPr>
        <w:tabs>
          <w:tab w:val="left" w:pos="5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1B51">
        <w:rPr>
          <w:rFonts w:cstheme="minorHAnsi"/>
        </w:rPr>
        <w:t xml:space="preserve">Olej opałowy musi spełniać parametry jakościowe nie gorsze niż określone w normie </w:t>
      </w:r>
      <w:bookmarkStart w:id="0" w:name="_Hlk80780998"/>
      <w:r w:rsidR="002E1B51" w:rsidRPr="002E1B51">
        <w:rPr>
          <w:rFonts w:cstheme="minorHAnsi"/>
          <w:lang w:eastAsia="pl-PL"/>
        </w:rPr>
        <w:t>PN-C-96024:2020-12</w:t>
      </w:r>
      <w:bookmarkEnd w:id="0"/>
      <w:r w:rsidR="002E1B51" w:rsidRPr="002E1B51">
        <w:rPr>
          <w:rFonts w:cstheme="minorHAnsi"/>
          <w:lang w:eastAsia="pl-PL"/>
        </w:rPr>
        <w:t xml:space="preserve"> </w:t>
      </w:r>
      <w:r w:rsidRPr="002E1B51">
        <w:rPr>
          <w:rFonts w:cstheme="minorHAnsi"/>
        </w:rPr>
        <w:t>dla L-1 z uwzględnieniem ROZPORZĄDZENIA MINISTRA ENERGETYKI z dnia 1 grudnia 2016 r. w sprawie wymagań jakościowych dotyczących zawartości siarki dla olejów oraz rodzajów instalacji i warunków, w których będą stosowane ciężkie oleje opałowe (Dz.U.2016 poz. 2008):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wartość opałowa nie niższa niż 42,6 MJ/kg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zawartość siarki nie więcej niż 0,10% (m/m)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gęstość w temperaturze 150C nie wyższa niż 860 kg/m3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temperatura płynięcia nie wyższa niż -200C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temperatura zapłonu nie niższa niż 560C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zawartość wody nie wyższa niż 200mg/kg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lepkość kinematyczna w 200C nie wyższa niż 6 mm2/s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zawartość zanieczyszczeń stałych nie wyższa niż 24 mg/kg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skład frakcyjny do temperatury 2500C destyluje nie więcej niż 65%(V/V)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skład frakcyjny do temperatury 3500C destyluje nie więcej niż 85%(V/V)</w:t>
      </w:r>
    </w:p>
    <w:p w:rsidR="00C95AA4" w:rsidRPr="00A33441" w:rsidRDefault="00C95AA4" w:rsidP="00C95AA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>barwa czerwona</w:t>
      </w:r>
    </w:p>
    <w:p w:rsidR="00C95AA4" w:rsidRPr="00A33441" w:rsidRDefault="00C95AA4" w:rsidP="00C95AA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 xml:space="preserve">Przedmiot zamówienia obejmuje załadunek, transport do miejsca przeznaczenia oraz wyładunek oleju. </w:t>
      </w:r>
    </w:p>
    <w:p w:rsidR="00C95AA4" w:rsidRPr="00A33441" w:rsidRDefault="00C95AA4" w:rsidP="00C95AA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cstheme="minorHAnsi"/>
        </w:rPr>
        <w:t xml:space="preserve">Dostawy oleju będą realizowane sukcesywnie etapami na podstawie szczegółowego zamówienia złożonego w jednej z form (pisemnie, telefonicznie, drogą elektroniczną) przez </w:t>
      </w:r>
      <w:r w:rsidRPr="00A33441">
        <w:rPr>
          <w:rFonts w:cstheme="minorHAnsi"/>
          <w:bCs/>
        </w:rPr>
        <w:t xml:space="preserve">Zamawiającego </w:t>
      </w:r>
      <w:r w:rsidRPr="00A33441">
        <w:rPr>
          <w:rFonts w:cstheme="minorHAnsi"/>
        </w:rPr>
        <w:t xml:space="preserve">w </w:t>
      </w:r>
      <w:r w:rsidRPr="00A33441">
        <w:rPr>
          <w:rFonts w:cstheme="minorHAnsi"/>
        </w:rPr>
        <w:lastRenderedPageBreak/>
        <w:t>terminach, ilościach i miejscach wskazanych przez Zamawiającego. Dostawy oleju opałowego będą odbywać się przy rozliczeniu w temperaturze referencyjnej 15 stopni C.</w:t>
      </w:r>
    </w:p>
    <w:p w:rsidR="00C95AA4" w:rsidRPr="00A33441" w:rsidRDefault="00C95AA4" w:rsidP="00C95AA4">
      <w:pPr>
        <w:numPr>
          <w:ilvl w:val="0"/>
          <w:numId w:val="3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A33441">
        <w:rPr>
          <w:rFonts w:asciiTheme="minorHAnsi" w:hAnsiTheme="minorHAnsi" w:cstheme="minorHAnsi"/>
          <w:sz w:val="22"/>
          <w:szCs w:val="22"/>
        </w:rPr>
        <w:t>Zamawiający wymaga dostaw od poniedziałku do piątku włącznie, w godzinach 7</w:t>
      </w:r>
      <w:r w:rsidRPr="00A33441">
        <w:rPr>
          <w:rFonts w:asciiTheme="minorHAnsi" w:hAnsiTheme="minorHAnsi" w:cstheme="minorHAnsi"/>
          <w:sz w:val="22"/>
          <w:szCs w:val="22"/>
          <w:vertAlign w:val="superscript"/>
        </w:rPr>
        <w:t>00 –</w:t>
      </w:r>
      <w:r w:rsidRPr="00A33441">
        <w:rPr>
          <w:rFonts w:asciiTheme="minorHAnsi" w:hAnsiTheme="minorHAnsi" w:cstheme="minorHAnsi"/>
          <w:sz w:val="22"/>
          <w:szCs w:val="22"/>
        </w:rPr>
        <w:t xml:space="preserve"> 15</w:t>
      </w:r>
      <w:r w:rsidRPr="00A33441">
        <w:rPr>
          <w:rFonts w:asciiTheme="minorHAnsi" w:hAnsiTheme="minorHAnsi" w:cstheme="minorHAnsi"/>
          <w:sz w:val="22"/>
          <w:szCs w:val="22"/>
          <w:vertAlign w:val="superscript"/>
        </w:rPr>
        <w:t xml:space="preserve">00 </w:t>
      </w:r>
      <w:r w:rsidRPr="00A33441">
        <w:rPr>
          <w:rFonts w:asciiTheme="minorHAnsi" w:hAnsiTheme="minorHAnsi" w:cstheme="minorHAnsi"/>
          <w:sz w:val="22"/>
          <w:szCs w:val="22"/>
        </w:rPr>
        <w:t>do pomieszczeń kotłowni w ilościach uzgodnionych telefonicznie na dzień przed planowanym terminem dostawy. Zamawiający zastrzega sobie prawo do dodatkowej dostawy w godzinach późniejszych tego samego dnia, w zależności od potrzeb.</w:t>
      </w:r>
    </w:p>
    <w:p w:rsidR="00C95AA4" w:rsidRPr="00A33441" w:rsidRDefault="00C95AA4" w:rsidP="00C95AA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3441">
        <w:rPr>
          <w:rFonts w:eastAsia="Times New Roman" w:cstheme="minorHAnsi"/>
        </w:rPr>
        <w:t xml:space="preserve">Wykonawca zobowiązuje się do dostarczania przedmiotu zamówienia na miejsce </w:t>
      </w:r>
      <w:r w:rsidRPr="00A33441">
        <w:rPr>
          <w:rFonts w:cstheme="minorHAnsi"/>
        </w:rPr>
        <w:t>rozładunku. Dostawa musi być realizowana przy użyciu specjalistycznego sprzętu i cystern przeznaczonych do przewozu oleju opałowego, posiadających odpowiednie atestowane mierniki przepływowe paliwa i wyposażonych w niezbędne urządzenia do bezproblemowego przepompowania oleju do zbiorników. Transport paliw winien spełniać wymogi odpowiednich przepisów prawa, w tym dotyczących bezpieczeństwa pożarowego, ruchu  drogowego oraz ochrony środowiska.</w:t>
      </w:r>
    </w:p>
    <w:p w:rsidR="00C95AA4" w:rsidRPr="00D61E1C" w:rsidRDefault="00C95AA4" w:rsidP="00C95AA4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A33441">
        <w:rPr>
          <w:rFonts w:cstheme="minorHAnsi"/>
        </w:rPr>
        <w:t>Wykonawca zobowiązany</w:t>
      </w:r>
      <w:r w:rsidRPr="00D61E1C">
        <w:rPr>
          <w:rFonts w:cstheme="minorHAnsi"/>
        </w:rPr>
        <w:t xml:space="preserve"> jest rozładować towar w miejscu wskazanym przez Zamawiającego.</w:t>
      </w:r>
    </w:p>
    <w:p w:rsidR="00C95AA4" w:rsidRPr="00C95AA4" w:rsidRDefault="00C95AA4" w:rsidP="00C95AA4">
      <w:pPr>
        <w:widowControl w:val="0"/>
        <w:jc w:val="both"/>
        <w:rPr>
          <w:rFonts w:cstheme="minorHAnsi"/>
          <w:bCs/>
          <w:color w:val="000000"/>
        </w:rPr>
      </w:pPr>
    </w:p>
    <w:p w:rsidR="00C455D4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 Czas trwania umowy</w:t>
      </w:r>
    </w:p>
    <w:p w:rsidR="00C455D4" w:rsidRPr="00B36399" w:rsidRDefault="00C455D4" w:rsidP="00B3639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79656659"/>
      <w:r w:rsidRPr="00B36399">
        <w:rPr>
          <w:rFonts w:asciiTheme="minorHAnsi" w:hAnsiTheme="minorHAnsi" w:cstheme="minorHAnsi"/>
          <w:color w:val="000000"/>
          <w:sz w:val="22"/>
          <w:szCs w:val="22"/>
        </w:rPr>
        <w:t xml:space="preserve">Niniejsza umowa zostaje zawarta </w:t>
      </w:r>
      <w:r w:rsidRPr="00B36399">
        <w:rPr>
          <w:rFonts w:asciiTheme="minorHAnsi" w:hAnsiTheme="minorHAnsi" w:cstheme="minorHAnsi"/>
          <w:sz w:val="22"/>
          <w:szCs w:val="22"/>
        </w:rPr>
        <w:t xml:space="preserve">na okres </w:t>
      </w:r>
      <w:r w:rsidRPr="00B36399">
        <w:rPr>
          <w:rFonts w:asciiTheme="minorHAnsi" w:hAnsiTheme="minorHAnsi" w:cstheme="minorHAnsi"/>
          <w:b/>
          <w:sz w:val="22"/>
          <w:szCs w:val="22"/>
        </w:rPr>
        <w:t>10 miesięcy od dnia zawarcia umowy, tj. do dnia ………</w:t>
      </w:r>
    </w:p>
    <w:bookmarkEnd w:id="1"/>
    <w:p w:rsidR="00C455D4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455D4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 Osoby upoważnione do realizacji umowy</w:t>
      </w:r>
    </w:p>
    <w:p w:rsidR="00972D1C" w:rsidRPr="00B36399" w:rsidRDefault="00972D1C" w:rsidP="00B36399">
      <w:pPr>
        <w:numPr>
          <w:ilvl w:val="0"/>
          <w:numId w:val="1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Wykonawcy będzie: …………………. </w:t>
      </w:r>
      <w:r w:rsidRPr="00B36399">
        <w:rPr>
          <w:rFonts w:asciiTheme="minorHAnsi" w:hAnsiTheme="minorHAnsi" w:cstheme="minorHAnsi"/>
          <w:i/>
          <w:iCs/>
          <w:sz w:val="22"/>
          <w:szCs w:val="22"/>
        </w:rPr>
        <w:t>, t</w:t>
      </w:r>
      <w:r w:rsidRPr="00B36399">
        <w:rPr>
          <w:rFonts w:asciiTheme="minorHAnsi" w:hAnsiTheme="minorHAnsi" w:cstheme="minorHAnsi"/>
          <w:color w:val="000000"/>
          <w:sz w:val="22"/>
          <w:szCs w:val="22"/>
        </w:rPr>
        <w:t>elefon: …………………………………., e-mail: ................................................</w:t>
      </w:r>
      <w:r w:rsidRPr="00B36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C95AA4" w:rsidRPr="00B36399" w:rsidRDefault="00C95AA4" w:rsidP="00C95AA4">
      <w:pPr>
        <w:numPr>
          <w:ilvl w:val="0"/>
          <w:numId w:val="1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Zamawiającego będzie: </w:t>
      </w:r>
      <w:r w:rsidR="000B3509">
        <w:rPr>
          <w:rFonts w:asciiTheme="minorHAnsi" w:hAnsiTheme="minorHAnsi" w:cstheme="minorHAnsi"/>
          <w:color w:val="000000"/>
          <w:sz w:val="22"/>
          <w:szCs w:val="22"/>
        </w:rPr>
        <w:t>Agnieszka Raczkowska</w:t>
      </w:r>
      <w:bookmarkStart w:id="2" w:name="_GoBack"/>
      <w:bookmarkEnd w:id="2"/>
      <w:r w:rsidRPr="00B36399">
        <w:rPr>
          <w:rFonts w:asciiTheme="minorHAnsi" w:hAnsiTheme="minorHAnsi" w:cstheme="minorHAnsi"/>
          <w:color w:val="000000"/>
          <w:sz w:val="22"/>
          <w:szCs w:val="22"/>
        </w:rPr>
        <w:t xml:space="preserve">, telefon: 54 2848 001, e-mail: </w:t>
      </w:r>
      <w:hyperlink r:id="rId7" w:history="1">
        <w:r w:rsidRPr="00B36399">
          <w:rPr>
            <w:rStyle w:val="Hipercze"/>
            <w:rFonts w:asciiTheme="minorHAnsi" w:hAnsiTheme="minorHAnsi" w:cstheme="minorHAnsi"/>
            <w:sz w:val="22"/>
            <w:szCs w:val="22"/>
          </w:rPr>
          <w:t>spchodecz@gmail.com</w:t>
        </w:r>
      </w:hyperlink>
      <w:r w:rsidRPr="00B36399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color w:val="000081"/>
          <w:sz w:val="22"/>
          <w:szCs w:val="22"/>
        </w:rPr>
        <w:t xml:space="preserve"> </w:t>
      </w:r>
    </w:p>
    <w:p w:rsidR="00972D1C" w:rsidRPr="00B36399" w:rsidRDefault="00972D1C" w:rsidP="00B36399">
      <w:pPr>
        <w:numPr>
          <w:ilvl w:val="0"/>
          <w:numId w:val="1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Ewentualna zmiana osoby, o której mowa w ust. 2 następuje poprzez pisemne powiadomienie Wykonawcy i nie stanowi zmiany treści umowy. </w:t>
      </w:r>
    </w:p>
    <w:p w:rsidR="00972D1C" w:rsidRPr="00B36399" w:rsidRDefault="00972D1C" w:rsidP="00B3639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E3EFE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4 Wartość umowy</w:t>
      </w:r>
    </w:p>
    <w:p w:rsidR="007E3EFE" w:rsidRPr="00B36399" w:rsidRDefault="000628C2" w:rsidP="00B36399">
      <w:pPr>
        <w:pStyle w:val="Akapitzlist1"/>
        <w:numPr>
          <w:ilvl w:val="0"/>
          <w:numId w:val="4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 realizację przedmiotu umowy Dostawcy przysługuje wynagrodzenie w wysokości nie większej niż:</w:t>
      </w:r>
    </w:p>
    <w:p w:rsidR="007E3EFE" w:rsidRPr="00B36399" w:rsidRDefault="000628C2" w:rsidP="00B36399">
      <w:pPr>
        <w:pStyle w:val="Akapitzlist1"/>
        <w:numPr>
          <w:ilvl w:val="0"/>
          <w:numId w:val="9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…………………. zł netto,</w:t>
      </w:r>
    </w:p>
    <w:p w:rsidR="007E3EFE" w:rsidRPr="00B36399" w:rsidRDefault="000628C2" w:rsidP="00B36399">
      <w:pPr>
        <w:pStyle w:val="Akapitzlist1"/>
        <w:numPr>
          <w:ilvl w:val="0"/>
          <w:numId w:val="9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……………….. zł VAT,</w:t>
      </w:r>
    </w:p>
    <w:p w:rsidR="00024589" w:rsidRPr="00024589" w:rsidRDefault="000628C2" w:rsidP="00024589">
      <w:pPr>
        <w:pStyle w:val="Akapitzlist1"/>
        <w:numPr>
          <w:ilvl w:val="0"/>
          <w:numId w:val="9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………………… zł brutto (słownie: …………………………….).</w:t>
      </w:r>
    </w:p>
    <w:p w:rsidR="00024589" w:rsidRDefault="00024589" w:rsidP="00024589">
      <w:pPr>
        <w:pStyle w:val="Akapitzlist"/>
        <w:tabs>
          <w:tab w:val="left" w:pos="900"/>
        </w:tabs>
        <w:spacing w:after="0" w:line="240" w:lineRule="auto"/>
        <w:ind w:left="453"/>
        <w:jc w:val="both"/>
      </w:pPr>
      <w:r>
        <w:t>z czego:</w:t>
      </w:r>
    </w:p>
    <w:p w:rsidR="00024589" w:rsidRPr="00024589" w:rsidRDefault="00024589" w:rsidP="00024589">
      <w:pPr>
        <w:pStyle w:val="Akapitzlist"/>
        <w:tabs>
          <w:tab w:val="left" w:pos="900"/>
        </w:tabs>
        <w:ind w:left="453"/>
        <w:jc w:val="both"/>
      </w:pPr>
      <w:r w:rsidRPr="004F3CA8">
        <w:rPr>
          <w:b/>
        </w:rPr>
        <w:t>cena jednostkowa za litr oleju opałowego</w:t>
      </w:r>
      <w:r>
        <w:t xml:space="preserve"> = cena hurtowa producenta z dnia, w którym dokonywana jest dostawa, opublikowana na stronie producenta paliw – ………………. zł/l (upust). </w:t>
      </w:r>
    </w:p>
    <w:p w:rsidR="00C95AA4" w:rsidRDefault="00C95AA4" w:rsidP="00C95AA4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60CDE">
        <w:t>Strony ustalają , że rozliczenie za dostarczony olej następowało będzie na podstawie faktur za wykonane partiami dostawy. Za podstawę fakturowania przyjmuje się cenę ustaloną w ofercie Dostawcy</w:t>
      </w:r>
    </w:p>
    <w:p w:rsidR="00C95AA4" w:rsidRDefault="00C95AA4" w:rsidP="00C95AA4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60CDE">
        <w:t>Ze względu na znaczne wahania ceny oleju opałoweg</w:t>
      </w:r>
      <w:r>
        <w:t>o ustala się cenę stosownie do</w:t>
      </w:r>
      <w:r w:rsidRPr="00460CDE">
        <w:t xml:space="preserve"> ceny Polskiego Koncernu Naftowego obowiązującej w dniu zamówienia podwyższoną o marżę Dostawcy.</w:t>
      </w:r>
    </w:p>
    <w:p w:rsidR="00C95AA4" w:rsidRDefault="00C95AA4" w:rsidP="00C95AA4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60CDE">
        <w:t>Strony dopuszczają zmianę ceny (obniżenie lub podwyższenie) w przypadku zmian cen producenta oleju. Procentowe obniżenie lub podwyższenie cen zawartych w ofercie musi być potwierdzone odpowiednim dokumentem.</w:t>
      </w:r>
    </w:p>
    <w:p w:rsidR="00C95AA4" w:rsidRDefault="00C95AA4" w:rsidP="00C95AA4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60CDE">
        <w:t>Każdy wzrost cen wymaga pisemnej akceptacji Zamawiającego.</w:t>
      </w:r>
    </w:p>
    <w:p w:rsidR="00C95AA4" w:rsidRDefault="00C95AA4" w:rsidP="00C95AA4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60CDE">
        <w:t>Wielkość zapotrzebowania może ulec zmianie do 30% w zależności od warunków atmosferycznych  w sezonie grzewczym. Powyższe nie upoważnia Wykonawcy do żądania zrealizowania całości zamówienia lub rekompensaty pieniężnej za niezrealizowaną wielkość zamówienia.</w:t>
      </w:r>
    </w:p>
    <w:p w:rsidR="00C95AA4" w:rsidRPr="00C95AA4" w:rsidRDefault="00C95AA4" w:rsidP="00C95AA4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60CDE">
        <w:rPr>
          <w:bCs/>
        </w:rPr>
        <w:t>Potrzeby, uzgodnienia i informacje związane z wykonaniem dostawy przekazywane będą pisemnie i parafowane przez ustanowione w ust. 1 osoby.</w:t>
      </w:r>
    </w:p>
    <w:p w:rsidR="00B1060C" w:rsidRPr="00B36399" w:rsidRDefault="00B1060C" w:rsidP="00C95AA4">
      <w:pPr>
        <w:pStyle w:val="Akapitzlist1"/>
        <w:numPr>
          <w:ilvl w:val="0"/>
          <w:numId w:val="4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 dostarczanych wraz z każdą partią przedmiotu umowy.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Zapłata wynagrodzenia dokonana zostanie przelewem na konto Wykonawcy wskazane na fakturze do 14 dni od daty otrzymania prawidłowo wystawionej faktury po każdorazowej cząstkowej dostawie.</w:t>
      </w:r>
    </w:p>
    <w:p w:rsidR="007E3EFE" w:rsidRPr="00B36399" w:rsidRDefault="000628C2" w:rsidP="00B36399">
      <w:pPr>
        <w:pStyle w:val="Tekstpodstawowy"/>
        <w:numPr>
          <w:ilvl w:val="0"/>
          <w:numId w:val="4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lastRenderedPageBreak/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C95AA4" w:rsidRPr="00B36399" w:rsidRDefault="00C95AA4" w:rsidP="00C95AA4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C95AA4" w:rsidRPr="00B36399" w:rsidRDefault="00C95AA4" w:rsidP="00C95AA4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>
        <w:rPr>
          <w:rFonts w:eastAsia="Calibri" w:cstheme="minorHAnsi"/>
          <w:color w:val="00000A"/>
        </w:rPr>
        <w:t>Szkoła Podstawowa im. Tadeusza Kościuszki w Chodczu</w:t>
      </w:r>
      <w:r w:rsidRPr="00B36399">
        <w:rPr>
          <w:rFonts w:eastAsia="Calibri" w:cstheme="minorHAnsi"/>
          <w:color w:val="00000A"/>
        </w:rPr>
        <w:t xml:space="preserve">, ul. Waryńskiego </w:t>
      </w:r>
      <w:r>
        <w:rPr>
          <w:rFonts w:eastAsia="Calibri" w:cstheme="minorHAnsi"/>
          <w:color w:val="00000A"/>
        </w:rPr>
        <w:t>20</w:t>
      </w:r>
      <w:r w:rsidRPr="00B36399">
        <w:rPr>
          <w:rFonts w:eastAsia="Calibri" w:cstheme="minorHAnsi"/>
          <w:color w:val="00000A"/>
        </w:rPr>
        <w:t xml:space="preserve">, 87-860 Chodecz, NIP: </w:t>
      </w:r>
      <w:r>
        <w:rPr>
          <w:rFonts w:cstheme="minorHAnsi"/>
        </w:rPr>
        <w:t>888-18-59-642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7E3EFE" w:rsidRPr="00B36399" w:rsidRDefault="007E3EFE" w:rsidP="00B36399">
      <w:pPr>
        <w:tabs>
          <w:tab w:val="left" w:pos="426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72D1C" w:rsidRPr="00B36399" w:rsidRDefault="00972D1C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5 Kary umowne</w:t>
      </w:r>
    </w:p>
    <w:p w:rsidR="00972D1C" w:rsidRPr="00B36399" w:rsidRDefault="00972D1C" w:rsidP="00B36399">
      <w:pPr>
        <w:pStyle w:val="Tekstpodstawowy3"/>
        <w:numPr>
          <w:ilvl w:val="0"/>
          <w:numId w:val="1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dostarczeniu przedmiotu umowy w terminie, o którym mowa w § 1 ust. </w:t>
      </w:r>
      <w:r w:rsidR="00C95AA4">
        <w:rPr>
          <w:rFonts w:asciiTheme="minorHAnsi" w:hAnsiTheme="minorHAnsi" w:cstheme="minorHAnsi"/>
          <w:sz w:val="22"/>
          <w:szCs w:val="22"/>
        </w:rPr>
        <w:t>6</w:t>
      </w:r>
      <w:r w:rsidRPr="00B36399">
        <w:rPr>
          <w:rFonts w:asciiTheme="minorHAnsi" w:hAnsiTheme="minorHAnsi" w:cstheme="minorHAnsi"/>
          <w:sz w:val="22"/>
          <w:szCs w:val="22"/>
        </w:rPr>
        <w:t xml:space="preserve"> umowy – w wysokości 0,1 % wynagrodzenia umownego określonego w § 4 ust. 1 umowy za każdy dzień opóźnienia lub zwłoki,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972D1C" w:rsidRPr="00B36399" w:rsidRDefault="00972D1C" w:rsidP="00B36399">
      <w:pPr>
        <w:numPr>
          <w:ilvl w:val="2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Cs/>
          <w:sz w:val="22"/>
          <w:szCs w:val="22"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  <w:sz w:val="22"/>
          <w:szCs w:val="22"/>
        </w:rPr>
        <w:t>określonego w § 4 ust. 1 umowy.</w:t>
      </w:r>
    </w:p>
    <w:p w:rsidR="00972D1C" w:rsidRPr="00B36399" w:rsidRDefault="00972D1C" w:rsidP="00B36399">
      <w:pPr>
        <w:numPr>
          <w:ilvl w:val="2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Wykonawca upoważnia Zamawiającego do potrącenia nałożonych kar umownych</w:t>
      </w:r>
      <w:r w:rsidRPr="00B36399">
        <w:rPr>
          <w:rFonts w:asciiTheme="minorHAnsi" w:hAnsiTheme="minorHAnsi" w:cstheme="minorHAnsi"/>
          <w:sz w:val="22"/>
          <w:szCs w:val="22"/>
        </w:rPr>
        <w:br/>
        <w:t>z przedłożonych do zapłaty faktur. W przypadku braku pokrycia nałożonych kar umownych</w:t>
      </w:r>
      <w:r w:rsidRPr="00B36399">
        <w:rPr>
          <w:rFonts w:asciiTheme="minorHAnsi" w:hAnsiTheme="minorHAnsi" w:cstheme="minorHAnsi"/>
          <w:sz w:val="22"/>
          <w:szCs w:val="22"/>
        </w:rPr>
        <w:br/>
        <w:t>w kwotach pozostałych do zapłaty, Wykonawca zobowiązany jest do uregulowania kary umownej lub jej nie potrąconej części w terminie 14 dni od dnia nałożenia.</w:t>
      </w:r>
    </w:p>
    <w:p w:rsidR="00972D1C" w:rsidRPr="00B36399" w:rsidRDefault="00972D1C" w:rsidP="00B36399">
      <w:pPr>
        <w:numPr>
          <w:ilvl w:val="2"/>
          <w:numId w:val="14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36399">
        <w:rPr>
          <w:rStyle w:val="Wyr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972D1C" w:rsidRPr="00B36399" w:rsidRDefault="00972D1C" w:rsidP="00B36399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:rsidR="00633946" w:rsidRPr="00B36399" w:rsidRDefault="00633946" w:rsidP="00B36399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sz w:val="22"/>
          <w:szCs w:val="22"/>
        </w:rPr>
        <w:t>6</w:t>
      </w:r>
      <w:r w:rsidRPr="00B36399">
        <w:rPr>
          <w:rFonts w:asciiTheme="minorHAnsi" w:hAnsiTheme="minorHAnsi" w:cstheme="minorHAnsi"/>
          <w:b/>
          <w:sz w:val="22"/>
          <w:szCs w:val="22"/>
        </w:rPr>
        <w:t xml:space="preserve"> Zmiany umowy</w:t>
      </w:r>
    </w:p>
    <w:p w:rsidR="00633946" w:rsidRPr="00B36399" w:rsidRDefault="00633946" w:rsidP="00B36399">
      <w:pPr>
        <w:pStyle w:val="Tekstpodstawowy2"/>
        <w:numPr>
          <w:ilvl w:val="0"/>
          <w:numId w:val="1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633946" w:rsidRPr="007800B4" w:rsidRDefault="00633946" w:rsidP="00B36399">
      <w:pPr>
        <w:numPr>
          <w:ilvl w:val="0"/>
          <w:numId w:val="17"/>
        </w:numPr>
        <w:tabs>
          <w:tab w:val="clear" w:pos="720"/>
          <w:tab w:val="left" w:pos="794"/>
        </w:tabs>
        <w:suppressAutoHyphens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800B4">
        <w:rPr>
          <w:rFonts w:asciiTheme="minorHAnsi" w:hAnsiTheme="minorHAnsi" w:cstheme="minorHAnsi"/>
          <w:sz w:val="22"/>
          <w:szCs w:val="22"/>
        </w:rPr>
        <w:t>zmiany strony umowy w sytuacji następstwa prawnego wynikającego z odrębnych przepisów,</w:t>
      </w:r>
    </w:p>
    <w:p w:rsidR="00633946" w:rsidRPr="007800B4" w:rsidRDefault="00633946" w:rsidP="00B36399">
      <w:pPr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800B4">
        <w:rPr>
          <w:rFonts w:asciiTheme="minorHAnsi" w:hAnsiTheme="minorHAnsi" w:cstheme="minorHAnsi"/>
          <w:sz w:val="22"/>
          <w:szCs w:val="22"/>
        </w:rPr>
        <w:t>zmiany postanowień umowy, których konieczność wprowadzenia jest wynikiem zmian obowiązującego prawa,</w:t>
      </w:r>
    </w:p>
    <w:p w:rsidR="00633946" w:rsidRPr="007800B4" w:rsidRDefault="00633946" w:rsidP="00B36399">
      <w:pPr>
        <w:numPr>
          <w:ilvl w:val="0"/>
          <w:numId w:val="17"/>
        </w:numPr>
        <w:tabs>
          <w:tab w:val="clear" w:pos="720"/>
          <w:tab w:val="left" w:pos="567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800B4">
        <w:rPr>
          <w:rFonts w:asciiTheme="minorHAnsi" w:hAnsiTheme="minorHAnsi" w:cstheme="minorHAnsi"/>
          <w:sz w:val="22"/>
          <w:szCs w:val="22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  <w:sz w:val="22"/>
          <w:szCs w:val="22"/>
        </w:rPr>
        <w:br/>
        <w:t>i podatku akcyzowym w odniesieniu odpowiednio do całości lub danej części wartości zamówienia, którego zmiana dotyczy, przy czym wartość netto określona w umowie jest wartością stałą</w:t>
      </w:r>
      <w:r w:rsidR="00AD56E4" w:rsidRPr="007800B4">
        <w:rPr>
          <w:rFonts w:asciiTheme="minorHAnsi" w:hAnsiTheme="minorHAnsi" w:cstheme="minorHAnsi"/>
          <w:sz w:val="22"/>
          <w:szCs w:val="22"/>
        </w:rPr>
        <w:t>,</w:t>
      </w:r>
    </w:p>
    <w:p w:rsidR="007800B4" w:rsidRPr="007800B4" w:rsidRDefault="007800B4" w:rsidP="007800B4">
      <w:pPr>
        <w:numPr>
          <w:ilvl w:val="0"/>
          <w:numId w:val="17"/>
        </w:numPr>
        <w:tabs>
          <w:tab w:val="clear" w:pos="720"/>
          <w:tab w:val="left" w:pos="567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800B4">
        <w:rPr>
          <w:rFonts w:asciiTheme="minorHAnsi" w:hAnsiTheme="minorHAnsi" w:cstheme="minorHAnsi"/>
          <w:sz w:val="22"/>
          <w:szCs w:val="22"/>
        </w:rPr>
        <w:t xml:space="preserve"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</w:t>
      </w:r>
      <w:r w:rsidRPr="007800B4">
        <w:rPr>
          <w:rFonts w:asciiTheme="minorHAnsi" w:hAnsiTheme="minorHAnsi" w:cstheme="minorHAnsi"/>
          <w:sz w:val="22"/>
          <w:szCs w:val="22"/>
        </w:rPr>
        <w:lastRenderedPageBreak/>
        <w:t>ograniczenia, nakazy lub zakazy określonego zachowania się, niezależnie od formy takiego aktu oraz tego czy zagrażają w chwili obecnej.</w:t>
      </w:r>
    </w:p>
    <w:p w:rsidR="00633946" w:rsidRPr="007800B4" w:rsidRDefault="00633946" w:rsidP="00B36399">
      <w:pPr>
        <w:widowControl w:val="0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800B4">
        <w:rPr>
          <w:rFonts w:asciiTheme="minorHAnsi" w:hAnsiTheme="minorHAnsi" w:cstheme="minorHAnsi"/>
          <w:sz w:val="22"/>
          <w:szCs w:val="22"/>
        </w:rPr>
        <w:t>Dokonanie zmiany umowy w zakresie jw. wymaga uprzedniego złożenia na piśmie wniosku wykazującego zasadność wprowadzenia zmian i zgody Stron na jej dokonanie.</w:t>
      </w:r>
    </w:p>
    <w:p w:rsidR="007800B4" w:rsidRPr="007800B4" w:rsidRDefault="007800B4" w:rsidP="00B36399">
      <w:pPr>
        <w:widowControl w:val="0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800B4">
        <w:rPr>
          <w:rFonts w:asciiTheme="minorHAnsi" w:hAnsiTheme="minorHAnsi" w:cstheme="minorHAnsi"/>
          <w:sz w:val="22"/>
          <w:szCs w:val="22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wniosku o dokonanie zmiany, druga ze stron poinformuje pisemnie o swojej decyzji, bądź zwróci podpisany aneks.</w:t>
      </w:r>
    </w:p>
    <w:p w:rsidR="00633946" w:rsidRPr="007800B4" w:rsidRDefault="00633946" w:rsidP="00B36399">
      <w:pPr>
        <w:widowControl w:val="0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800B4">
        <w:rPr>
          <w:rFonts w:asciiTheme="minorHAnsi" w:hAnsiTheme="minorHAnsi" w:cstheme="minorHAnsi"/>
          <w:sz w:val="22"/>
          <w:szCs w:val="22"/>
        </w:rPr>
        <w:t>Wszelkie zmiany umowy wymagają – pod rygorem nieważności – zachowania formy pisemnej (w postaci aneksu).</w:t>
      </w:r>
    </w:p>
    <w:p w:rsidR="00633946" w:rsidRPr="00B36399" w:rsidRDefault="00633946" w:rsidP="00B363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3946" w:rsidRPr="00B36399" w:rsidRDefault="00633946" w:rsidP="00B36399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sz w:val="22"/>
          <w:szCs w:val="22"/>
        </w:rPr>
        <w:t>7</w:t>
      </w:r>
      <w:r w:rsidR="00864874" w:rsidRPr="00B36399">
        <w:rPr>
          <w:rFonts w:asciiTheme="minorHAnsi" w:hAnsiTheme="minorHAnsi" w:cstheme="minorHAnsi"/>
          <w:b/>
          <w:sz w:val="22"/>
          <w:szCs w:val="22"/>
        </w:rPr>
        <w:t xml:space="preserve"> Odstąpienie od umowy</w:t>
      </w:r>
    </w:p>
    <w:p w:rsidR="00633946" w:rsidRPr="00B36399" w:rsidRDefault="00633946" w:rsidP="00B36399">
      <w:pPr>
        <w:pStyle w:val="Tekstpodstawowywcity"/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633946" w:rsidRPr="00B36399" w:rsidRDefault="00633946" w:rsidP="00B36399">
      <w:pPr>
        <w:pStyle w:val="Tekstpodstawowywcity"/>
        <w:numPr>
          <w:ilvl w:val="1"/>
          <w:numId w:val="21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 przypadku, o którym w ust. 2 pkt 1 Zamawiający odstępuje od umowy w części, której zmiana dotyczy.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Wykonawca może żądać wyłącznie wynagrodzenia należnego z tytułu wykonania części umowy.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Odstąpienie od umowy przez którąkolwiek ze Stron nie pozbawia Zamawiającego prawa naliczania i dochodzenia kar umownych z innych tytułów zastrzeżonych w niniejszej umowie.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Odstąpienie od umowy – pod rygorem nieważności - winno nastąpić na piśmie oraz zawierać uzasadnienie.</w:t>
      </w:r>
    </w:p>
    <w:p w:rsidR="00633946" w:rsidRPr="00B36399" w:rsidRDefault="00633946" w:rsidP="00B36399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64874"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FE01CD" w:rsidRPr="00B36399" w:rsidRDefault="00633946" w:rsidP="00B36399">
      <w:pPr>
        <w:numPr>
          <w:ilvl w:val="0"/>
          <w:numId w:val="2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E01CD" w:rsidRPr="00B36399" w:rsidRDefault="00864874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FE01CD" w:rsidRPr="00B36399" w:rsidRDefault="00864874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8" w:history="1">
        <w:r w:rsidR="00FE01CD" w:rsidRPr="00B36399">
          <w:rPr>
            <w:rStyle w:val="Hipercze"/>
            <w:rFonts w:cstheme="minorHAnsi"/>
          </w:rPr>
          <w:t>iod@chodecz.pl</w:t>
        </w:r>
      </w:hyperlink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FE01CD" w:rsidRPr="00B36399" w:rsidRDefault="00FE01CD" w:rsidP="00B36399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FE01CD" w:rsidRPr="00B36399" w:rsidRDefault="00FE01CD" w:rsidP="00B36399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FE01CD" w:rsidRPr="00B36399" w:rsidRDefault="00FE01CD" w:rsidP="00B36399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633946" w:rsidRPr="00B36399" w:rsidRDefault="00633946" w:rsidP="00B36399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633946" w:rsidRPr="00B36399" w:rsidRDefault="00633946" w:rsidP="00B36399">
      <w:pPr>
        <w:pStyle w:val="Stopka1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633946" w:rsidRPr="00B36399" w:rsidRDefault="00633946" w:rsidP="00B36399">
      <w:pPr>
        <w:pStyle w:val="Stopka1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633946" w:rsidRPr="00B36399" w:rsidRDefault="00633946" w:rsidP="00B36399">
      <w:pPr>
        <w:pStyle w:val="Stopka1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633946" w:rsidRPr="00B36399" w:rsidRDefault="00633946" w:rsidP="00B36399">
      <w:pPr>
        <w:pStyle w:val="Nagwek11"/>
        <w:jc w:val="center"/>
        <w:rPr>
          <w:rFonts w:asciiTheme="minorHAnsi" w:hAnsiTheme="minorHAnsi" w:cstheme="minorHAnsi"/>
          <w:sz w:val="22"/>
          <w:szCs w:val="22"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Zamawiający:                                                  </w:t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ab/>
        <w:t>Wykonawca:</w:t>
      </w: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Pr="00B36399" w:rsidRDefault="00B36399" w:rsidP="00B36399">
      <w:pPr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iCs/>
          <w:sz w:val="22"/>
          <w:szCs w:val="22"/>
        </w:rPr>
        <w:t>Załączniki do umowy:</w:t>
      </w:r>
    </w:p>
    <w:p w:rsidR="007E3EFE" w:rsidRPr="00DD688B" w:rsidRDefault="00B36399" w:rsidP="00B36399">
      <w:pPr>
        <w:numPr>
          <w:ilvl w:val="1"/>
          <w:numId w:val="1"/>
        </w:num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DD688B">
        <w:rPr>
          <w:rFonts w:asciiTheme="minorHAnsi" w:hAnsiTheme="minorHAnsi" w:cstheme="minorHAnsi"/>
          <w:iCs/>
          <w:sz w:val="22"/>
          <w:szCs w:val="22"/>
        </w:rPr>
        <w:t xml:space="preserve">formularz oferty </w:t>
      </w:r>
    </w:p>
    <w:sectPr w:rsidR="007E3EFE" w:rsidRPr="00DD688B">
      <w:footerReference w:type="default" r:id="rId9"/>
      <w:pgSz w:w="11906" w:h="16838"/>
      <w:pgMar w:top="851" w:right="851" w:bottom="851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D9" w:rsidRDefault="00F76BD9">
      <w:r>
        <w:separator/>
      </w:r>
    </w:p>
  </w:endnote>
  <w:endnote w:type="continuationSeparator" w:id="0">
    <w:p w:rsidR="00F76BD9" w:rsidRDefault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epoloItcTEEBoo">
    <w:altName w:val="Cambria"/>
    <w:charset w:val="EE"/>
    <w:family w:val="roman"/>
    <w:pitch w:val="variable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874120"/>
      <w:docPartObj>
        <w:docPartGallery w:val="Page Numbers (Bottom of Page)"/>
        <w:docPartUnique/>
      </w:docPartObj>
    </w:sdtPr>
    <w:sdtEndPr/>
    <w:sdtContent>
      <w:p w:rsidR="007E3EFE" w:rsidRDefault="000628C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C0381">
          <w:rPr>
            <w:noProof/>
          </w:rPr>
          <w:t>1</w:t>
        </w:r>
        <w:r>
          <w:fldChar w:fldCharType="end"/>
        </w:r>
      </w:p>
    </w:sdtContent>
  </w:sdt>
  <w:p w:rsidR="007E3EFE" w:rsidRDefault="007E3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D9" w:rsidRDefault="00F76BD9">
      <w:r>
        <w:separator/>
      </w:r>
    </w:p>
  </w:footnote>
  <w:footnote w:type="continuationSeparator" w:id="0">
    <w:p w:rsidR="00F76BD9" w:rsidRDefault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90E"/>
    <w:multiLevelType w:val="multilevel"/>
    <w:tmpl w:val="09C0646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A2A27F2"/>
    <w:multiLevelType w:val="multilevel"/>
    <w:tmpl w:val="6F5A6C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74793C"/>
    <w:multiLevelType w:val="multilevel"/>
    <w:tmpl w:val="6E6A6A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16334D5"/>
    <w:multiLevelType w:val="multilevel"/>
    <w:tmpl w:val="254655A6"/>
    <w:lvl w:ilvl="0">
      <w:start w:val="1"/>
      <w:numFmt w:val="decimal"/>
      <w:lvlText w:val="%1)"/>
      <w:lvlJc w:val="left"/>
      <w:pPr>
        <w:ind w:left="624" w:hanging="360"/>
      </w:pPr>
    </w:lvl>
    <w:lvl w:ilvl="1">
      <w:start w:val="1"/>
      <w:numFmt w:val="lowerLetter"/>
      <w:lvlText w:val="%2."/>
      <w:lvlJc w:val="left"/>
      <w:pPr>
        <w:ind w:left="1344" w:hanging="360"/>
      </w:pPr>
    </w:lvl>
    <w:lvl w:ilvl="2">
      <w:start w:val="1"/>
      <w:numFmt w:val="lowerRoman"/>
      <w:lvlText w:val="%3."/>
      <w:lvlJc w:val="right"/>
      <w:pPr>
        <w:ind w:left="2064" w:hanging="180"/>
      </w:pPr>
    </w:lvl>
    <w:lvl w:ilvl="3">
      <w:start w:val="1"/>
      <w:numFmt w:val="decimal"/>
      <w:lvlText w:val="%4."/>
      <w:lvlJc w:val="left"/>
      <w:pPr>
        <w:ind w:left="2784" w:hanging="360"/>
      </w:pPr>
    </w:lvl>
    <w:lvl w:ilvl="4">
      <w:start w:val="1"/>
      <w:numFmt w:val="lowerLetter"/>
      <w:lvlText w:val="%5."/>
      <w:lvlJc w:val="left"/>
      <w:pPr>
        <w:ind w:left="3504" w:hanging="360"/>
      </w:pPr>
    </w:lvl>
    <w:lvl w:ilvl="5">
      <w:start w:val="1"/>
      <w:numFmt w:val="lowerRoman"/>
      <w:lvlText w:val="%6."/>
      <w:lvlJc w:val="right"/>
      <w:pPr>
        <w:ind w:left="4224" w:hanging="180"/>
      </w:pPr>
    </w:lvl>
    <w:lvl w:ilvl="6">
      <w:start w:val="1"/>
      <w:numFmt w:val="decimal"/>
      <w:lvlText w:val="%7."/>
      <w:lvlJc w:val="left"/>
      <w:pPr>
        <w:ind w:left="4944" w:hanging="360"/>
      </w:pPr>
    </w:lvl>
    <w:lvl w:ilvl="7">
      <w:start w:val="1"/>
      <w:numFmt w:val="lowerLetter"/>
      <w:lvlText w:val="%8."/>
      <w:lvlJc w:val="left"/>
      <w:pPr>
        <w:ind w:left="5664" w:hanging="360"/>
      </w:pPr>
    </w:lvl>
    <w:lvl w:ilvl="8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153B3FDE"/>
    <w:multiLevelType w:val="hybridMultilevel"/>
    <w:tmpl w:val="D034FE04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E10DD"/>
    <w:multiLevelType w:val="multilevel"/>
    <w:tmpl w:val="206426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DB0234B"/>
    <w:multiLevelType w:val="multilevel"/>
    <w:tmpl w:val="4CE8F8B6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324138"/>
    <w:multiLevelType w:val="hybridMultilevel"/>
    <w:tmpl w:val="609C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5D58DE"/>
    <w:multiLevelType w:val="multilevel"/>
    <w:tmpl w:val="105269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33AFC"/>
    <w:multiLevelType w:val="multilevel"/>
    <w:tmpl w:val="2D8E13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877B60"/>
    <w:multiLevelType w:val="multilevel"/>
    <w:tmpl w:val="DDAA8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F841273"/>
    <w:multiLevelType w:val="multilevel"/>
    <w:tmpl w:val="06A409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0E46"/>
    <w:multiLevelType w:val="multilevel"/>
    <w:tmpl w:val="A9F0D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0B691E"/>
    <w:multiLevelType w:val="hybridMultilevel"/>
    <w:tmpl w:val="35A8D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8E84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5C447E"/>
    <w:multiLevelType w:val="multilevel"/>
    <w:tmpl w:val="AAA059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62F63"/>
    <w:multiLevelType w:val="multilevel"/>
    <w:tmpl w:val="3530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8321AC"/>
    <w:multiLevelType w:val="multilevel"/>
    <w:tmpl w:val="1270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80" w:hanging="360"/>
      </w:pPr>
      <w:rPr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392B2F"/>
    <w:multiLevelType w:val="multilevel"/>
    <w:tmpl w:val="A6E8BD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FC6639"/>
    <w:multiLevelType w:val="hybridMultilevel"/>
    <w:tmpl w:val="4FC6B9AA"/>
    <w:lvl w:ilvl="0" w:tplc="5C50FDC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63746"/>
    <w:multiLevelType w:val="multilevel"/>
    <w:tmpl w:val="6FD47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44747B"/>
    <w:multiLevelType w:val="hybridMultilevel"/>
    <w:tmpl w:val="8E7C9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C54E0D"/>
    <w:multiLevelType w:val="multilevel"/>
    <w:tmpl w:val="F4B0881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3106AE"/>
    <w:multiLevelType w:val="multilevel"/>
    <w:tmpl w:val="11C05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26"/>
  </w:num>
  <w:num w:numId="4">
    <w:abstractNumId w:val="9"/>
  </w:num>
  <w:num w:numId="5">
    <w:abstractNumId w:val="23"/>
  </w:num>
  <w:num w:numId="6">
    <w:abstractNumId w:val="7"/>
  </w:num>
  <w:num w:numId="7">
    <w:abstractNumId w:val="15"/>
  </w:num>
  <w:num w:numId="8">
    <w:abstractNumId w:val="22"/>
  </w:num>
  <w:num w:numId="9">
    <w:abstractNumId w:val="30"/>
  </w:num>
  <w:num w:numId="10">
    <w:abstractNumId w:val="13"/>
  </w:num>
  <w:num w:numId="11">
    <w:abstractNumId w:val="20"/>
  </w:num>
  <w:num w:numId="12">
    <w:abstractNumId w:val="10"/>
  </w:num>
  <w:num w:numId="13">
    <w:abstractNumId w:val="21"/>
  </w:num>
  <w:num w:numId="14">
    <w:abstractNumId w:val="28"/>
  </w:num>
  <w:num w:numId="15">
    <w:abstractNumId w:val="19"/>
  </w:num>
  <w:num w:numId="16">
    <w:abstractNumId w:val="8"/>
  </w:num>
  <w:num w:numId="17">
    <w:abstractNumId w:val="32"/>
  </w:num>
  <w:num w:numId="18">
    <w:abstractNumId w:val="12"/>
  </w:num>
  <w:num w:numId="19">
    <w:abstractNumId w:val="1"/>
  </w:num>
  <w:num w:numId="20">
    <w:abstractNumId w:val="24"/>
  </w:num>
  <w:num w:numId="21">
    <w:abstractNumId w:val="31"/>
  </w:num>
  <w:num w:numId="22">
    <w:abstractNumId w:val="27"/>
  </w:num>
  <w:num w:numId="23">
    <w:abstractNumId w:val="16"/>
  </w:num>
  <w:num w:numId="24">
    <w:abstractNumId w:val="3"/>
  </w:num>
  <w:num w:numId="25">
    <w:abstractNumId w:val="0"/>
  </w:num>
  <w:num w:numId="26">
    <w:abstractNumId w:val="11"/>
  </w:num>
  <w:num w:numId="27">
    <w:abstractNumId w:val="14"/>
  </w:num>
  <w:num w:numId="28">
    <w:abstractNumId w:val="17"/>
  </w:num>
  <w:num w:numId="29">
    <w:abstractNumId w:val="6"/>
  </w:num>
  <w:num w:numId="30">
    <w:abstractNumId w:val="18"/>
  </w:num>
  <w:num w:numId="31">
    <w:abstractNumId w:val="25"/>
  </w:num>
  <w:num w:numId="32">
    <w:abstractNumId w:val="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FE"/>
    <w:rsid w:val="00024589"/>
    <w:rsid w:val="000628C2"/>
    <w:rsid w:val="0008543F"/>
    <w:rsid w:val="000B3509"/>
    <w:rsid w:val="00174A8B"/>
    <w:rsid w:val="001922FE"/>
    <w:rsid w:val="002E1B51"/>
    <w:rsid w:val="00403BCF"/>
    <w:rsid w:val="00455899"/>
    <w:rsid w:val="004C0381"/>
    <w:rsid w:val="004C1D3C"/>
    <w:rsid w:val="005507C4"/>
    <w:rsid w:val="005D4F74"/>
    <w:rsid w:val="00633946"/>
    <w:rsid w:val="00741D1E"/>
    <w:rsid w:val="0076781A"/>
    <w:rsid w:val="007800B4"/>
    <w:rsid w:val="00794D15"/>
    <w:rsid w:val="007E3EFE"/>
    <w:rsid w:val="00864874"/>
    <w:rsid w:val="009560FF"/>
    <w:rsid w:val="00972D1C"/>
    <w:rsid w:val="009B1CBC"/>
    <w:rsid w:val="009B7665"/>
    <w:rsid w:val="00AC1199"/>
    <w:rsid w:val="00AD56E4"/>
    <w:rsid w:val="00B1060C"/>
    <w:rsid w:val="00B36399"/>
    <w:rsid w:val="00C11E2A"/>
    <w:rsid w:val="00C455D4"/>
    <w:rsid w:val="00C95AA4"/>
    <w:rsid w:val="00DD688B"/>
    <w:rsid w:val="00F0453E"/>
    <w:rsid w:val="00F12AFF"/>
    <w:rsid w:val="00F7210E"/>
    <w:rsid w:val="00F76BD9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0860"/>
  <w15:docId w15:val="{1E5EF572-35FC-42AF-A0D9-6D29B6C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443"/>
    <w:pPr>
      <w:suppressAutoHyphens/>
    </w:pPr>
    <w:rPr>
      <w:rFonts w:eastAsia="Calibri"/>
      <w:sz w:val="24"/>
      <w:szCs w:val="24"/>
      <w:lang w:eastAsia="ar-SA"/>
    </w:rPr>
  </w:style>
  <w:style w:type="paragraph" w:styleId="Nagwek2">
    <w:name w:val="heading 2"/>
    <w:basedOn w:val="Normalny"/>
    <w:qFormat/>
    <w:rsid w:val="00F04443"/>
    <w:pPr>
      <w:keepNext/>
      <w:tabs>
        <w:tab w:val="left" w:pos="0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F04443"/>
    <w:rPr>
      <w:rFonts w:cs="Times New Roman"/>
    </w:rPr>
  </w:style>
  <w:style w:type="character" w:customStyle="1" w:styleId="WW8Num3z0">
    <w:name w:val="WW8Num3z0"/>
    <w:qFormat/>
    <w:rsid w:val="00F04443"/>
    <w:rPr>
      <w:rFonts w:ascii="Times New Roman" w:eastAsia="Times New Roman" w:hAnsi="Times New Roman"/>
    </w:rPr>
  </w:style>
  <w:style w:type="character" w:customStyle="1" w:styleId="WW8Num4z0">
    <w:name w:val="WW8Num4z0"/>
    <w:qFormat/>
    <w:rsid w:val="00F04443"/>
    <w:rPr>
      <w:rFonts w:cs="Times New Roman"/>
    </w:rPr>
  </w:style>
  <w:style w:type="character" w:customStyle="1" w:styleId="WW8Num5z0">
    <w:name w:val="WW8Num5z0"/>
    <w:qFormat/>
    <w:rsid w:val="00F04443"/>
    <w:rPr>
      <w:rFonts w:cs="Times New Roman"/>
    </w:rPr>
  </w:style>
  <w:style w:type="character" w:customStyle="1" w:styleId="WW8Num6z0">
    <w:name w:val="WW8Num6z0"/>
    <w:qFormat/>
    <w:rsid w:val="00F04443"/>
    <w:rPr>
      <w:rFonts w:cs="Times New Roman"/>
    </w:rPr>
  </w:style>
  <w:style w:type="character" w:customStyle="1" w:styleId="WW8Num7z0">
    <w:name w:val="WW8Num7z0"/>
    <w:qFormat/>
    <w:rsid w:val="00F04443"/>
    <w:rPr>
      <w:rFonts w:cs="Times New Roman"/>
    </w:rPr>
  </w:style>
  <w:style w:type="character" w:customStyle="1" w:styleId="Absatz-Standardschriftart">
    <w:name w:val="Absatz-Standardschriftart"/>
    <w:qFormat/>
    <w:rsid w:val="00F04443"/>
  </w:style>
  <w:style w:type="character" w:customStyle="1" w:styleId="WW-Absatz-Standardschriftart">
    <w:name w:val="WW-Absatz-Standardschriftart"/>
    <w:qFormat/>
    <w:rsid w:val="00F04443"/>
  </w:style>
  <w:style w:type="character" w:customStyle="1" w:styleId="WW8Num1z0">
    <w:name w:val="WW8Num1z0"/>
    <w:qFormat/>
    <w:rsid w:val="00F04443"/>
    <w:rPr>
      <w:rFonts w:cs="Times New Roman"/>
    </w:rPr>
  </w:style>
  <w:style w:type="character" w:customStyle="1" w:styleId="WW8Num3z1">
    <w:name w:val="WW8Num3z1"/>
    <w:qFormat/>
    <w:rsid w:val="00F04443"/>
    <w:rPr>
      <w:rFonts w:cs="Times New Roman"/>
    </w:rPr>
  </w:style>
  <w:style w:type="character" w:customStyle="1" w:styleId="WW8Num8z0">
    <w:name w:val="WW8Num8z0"/>
    <w:qFormat/>
    <w:rsid w:val="00F04443"/>
    <w:rPr>
      <w:rFonts w:cs="Times New Roman"/>
    </w:rPr>
  </w:style>
  <w:style w:type="character" w:customStyle="1" w:styleId="WW8Num8z2">
    <w:name w:val="WW8Num8z2"/>
    <w:qFormat/>
    <w:rsid w:val="00F04443"/>
    <w:rPr>
      <w:rFonts w:ascii="Times New Roman" w:eastAsia="Times New Roman" w:hAnsi="Times New Roman"/>
    </w:rPr>
  </w:style>
  <w:style w:type="character" w:customStyle="1" w:styleId="WW8Num9z0">
    <w:name w:val="WW8Num9z0"/>
    <w:qFormat/>
    <w:rsid w:val="00F04443"/>
    <w:rPr>
      <w:rFonts w:cs="Times New Roman"/>
    </w:rPr>
  </w:style>
  <w:style w:type="character" w:customStyle="1" w:styleId="ZnakZnak7">
    <w:name w:val="Znak Znak7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6">
    <w:name w:val="Znak Znak6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5">
    <w:name w:val="Znak Znak5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4">
    <w:name w:val="Znak Znak4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3">
    <w:name w:val="Znak Znak3"/>
    <w:basedOn w:val="Domylnaczcionkaakapitu"/>
    <w:qFormat/>
    <w:rsid w:val="00F04443"/>
    <w:rPr>
      <w:rFonts w:eastAsia="Calibri"/>
      <w:lang w:eastAsia="ar-SA" w:bidi="ar-SA"/>
    </w:rPr>
  </w:style>
  <w:style w:type="character" w:customStyle="1" w:styleId="ZnakZnak2">
    <w:name w:val="Znak Znak2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1">
    <w:name w:val="Znak Znak1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customStyle="1" w:styleId="ZnakZnak">
    <w:name w:val="Znak Znak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styleId="Numerstrony">
    <w:name w:val="page number"/>
    <w:basedOn w:val="Domylnaczcionkaakapitu"/>
    <w:semiHidden/>
    <w:qFormat/>
    <w:rsid w:val="00F04443"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F616F5"/>
    <w:rPr>
      <w:rFonts w:ascii="Arial" w:eastAsia="Calibri" w:hAnsi="Arial" w:cs="Arial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F616F5"/>
    <w:rPr>
      <w:i/>
      <w:iCs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 BS Znak,Kolorowa lista — akcent 11 Znak"/>
    <w:link w:val="Akapitzlist"/>
    <w:uiPriority w:val="34"/>
    <w:qFormat/>
    <w:locked/>
    <w:rsid w:val="00AE5A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F2A"/>
    <w:rPr>
      <w:rFonts w:eastAsia="Calibri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b w:val="0"/>
      <w:i w:val="0"/>
      <w:sz w:val="24"/>
    </w:rPr>
  </w:style>
  <w:style w:type="character" w:customStyle="1" w:styleId="ListLabel32">
    <w:name w:val="ListLabel 32"/>
    <w:qFormat/>
    <w:rPr>
      <w:sz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semiHidden/>
    <w:rsid w:val="00F044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F04443"/>
    <w:pPr>
      <w:jc w:val="both"/>
    </w:pPr>
  </w:style>
  <w:style w:type="paragraph" w:styleId="Lista">
    <w:name w:val="List"/>
    <w:basedOn w:val="Tekstpodstawowy"/>
    <w:semiHidden/>
    <w:rsid w:val="00F0444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04443"/>
    <w:pPr>
      <w:suppressLineNumbers/>
    </w:pPr>
    <w:rPr>
      <w:rFonts w:cs="Mangal"/>
    </w:rPr>
  </w:style>
  <w:style w:type="paragraph" w:styleId="Podpis">
    <w:name w:val="Signature"/>
    <w:basedOn w:val="Normalny"/>
    <w:semiHidden/>
    <w:rsid w:val="00F04443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qFormat/>
    <w:rsid w:val="00F04443"/>
    <w:pPr>
      <w:jc w:val="center"/>
    </w:pPr>
    <w:rPr>
      <w:b/>
      <w:bCs/>
    </w:rPr>
  </w:style>
  <w:style w:type="paragraph" w:styleId="Podtytu">
    <w:name w:val="Subtitle"/>
    <w:basedOn w:val="Nagwek"/>
    <w:qFormat/>
    <w:rsid w:val="00F04443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F04443"/>
    <w:rPr>
      <w:sz w:val="20"/>
      <w:szCs w:val="20"/>
    </w:rPr>
  </w:style>
  <w:style w:type="paragraph" w:styleId="Tekstpodstawowy3">
    <w:name w:val="Body Text 3"/>
    <w:basedOn w:val="Normalny"/>
    <w:semiHidden/>
    <w:qFormat/>
    <w:rsid w:val="00F04443"/>
    <w:pPr>
      <w:spacing w:line="360" w:lineRule="auto"/>
      <w:jc w:val="both"/>
    </w:pPr>
  </w:style>
  <w:style w:type="paragraph" w:styleId="Tekstpodstawowywcity2">
    <w:name w:val="Body Text Indent 2"/>
    <w:basedOn w:val="Normalny"/>
    <w:semiHidden/>
    <w:qFormat/>
    <w:rsid w:val="00F04443"/>
    <w:pPr>
      <w:ind w:left="374" w:hanging="187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qFormat/>
    <w:rsid w:val="00F04443"/>
    <w:pPr>
      <w:ind w:left="561" w:hanging="561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qFormat/>
    <w:rsid w:val="00F04443"/>
    <w:pPr>
      <w:ind w:left="720"/>
    </w:pPr>
  </w:style>
  <w:style w:type="paragraph" w:styleId="Tekstdymka">
    <w:name w:val="Balloon Text"/>
    <w:basedOn w:val="Normalny"/>
    <w:qFormat/>
    <w:rsid w:val="00F0444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4443"/>
    <w:pPr>
      <w:suppressAutoHyphens/>
    </w:pPr>
    <w:rPr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semiHidden/>
    <w:qFormat/>
    <w:rsid w:val="00F04443"/>
    <w:pPr>
      <w:jc w:val="both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F04443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Numerowanie,L1,Akapit z listą5,Akapit normalny,List Paragraph,Akapit z listą BS,Kolorowa lista — akcent 11"/>
    <w:basedOn w:val="Normalny"/>
    <w:link w:val="AkapitzlistZnak"/>
    <w:uiPriority w:val="34"/>
    <w:qFormat/>
    <w:rsid w:val="00AE5AA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455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5D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633946"/>
    <w:rPr>
      <w:rFonts w:ascii="TiepoloItcTEEBoo" w:hAnsi="TiepoloItcTEEBoo"/>
      <w:b/>
      <w:szCs w:val="24"/>
    </w:rPr>
  </w:style>
  <w:style w:type="character" w:customStyle="1" w:styleId="czeinternetowe">
    <w:name w:val="Łącze internetowe"/>
    <w:rsid w:val="00633946"/>
    <w:rPr>
      <w:color w:val="0000FF"/>
      <w:u w:val="single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633946"/>
    <w:pPr>
      <w:keepNext/>
      <w:suppressAutoHyphens w:val="0"/>
      <w:outlineLvl w:val="0"/>
    </w:pPr>
    <w:rPr>
      <w:rFonts w:ascii="TiepoloItcTEEBoo" w:eastAsia="Times New Roman" w:hAnsi="TiepoloItcTEEBoo"/>
      <w:b/>
      <w:sz w:val="20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633946"/>
    <w:pPr>
      <w:tabs>
        <w:tab w:val="center" w:pos="4536"/>
        <w:tab w:val="right" w:pos="9072"/>
      </w:tabs>
      <w:suppressAutoHyphens w:val="0"/>
    </w:pPr>
    <w:rPr>
      <w:rFonts w:ascii="Calibri" w:hAnsi="Calibri" w:cstheme="minorBidi"/>
      <w:color w:val="00000A"/>
      <w:sz w:val="22"/>
      <w:szCs w:val="22"/>
      <w:lang w:eastAsia="en-US"/>
    </w:rPr>
  </w:style>
  <w:style w:type="paragraph" w:customStyle="1" w:styleId="gmail-gwp14872f1cmsonormal">
    <w:name w:val="gmail-gwp14872f1cmsonormal"/>
    <w:basedOn w:val="Normalny"/>
    <w:qFormat/>
    <w:rsid w:val="00633946"/>
    <w:pPr>
      <w:suppressAutoHyphens w:val="0"/>
      <w:spacing w:beforeAutospacing="1" w:after="200" w:afterAutospacing="1"/>
    </w:pPr>
    <w:rPr>
      <w:rFonts w:eastAsiaTheme="minorHAnsi"/>
      <w:lang w:eastAsia="pl-PL"/>
    </w:rPr>
  </w:style>
  <w:style w:type="paragraph" w:customStyle="1" w:styleId="gmail-msolistparagraph">
    <w:name w:val="gmail-msolistparagraph"/>
    <w:basedOn w:val="Normalny"/>
    <w:qFormat/>
    <w:rsid w:val="00633946"/>
    <w:pPr>
      <w:suppressAutoHyphens w:val="0"/>
      <w:spacing w:beforeAutospacing="1" w:after="200" w:afterAutospacing="1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de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hodec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2560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Ja</dc:creator>
  <dc:description/>
  <cp:lastModifiedBy>Maria Szadkowska</cp:lastModifiedBy>
  <cp:revision>5</cp:revision>
  <cp:lastPrinted>2020-09-01T09:22:00Z</cp:lastPrinted>
  <dcterms:created xsi:type="dcterms:W3CDTF">2022-08-16T08:15:00Z</dcterms:created>
  <dcterms:modified xsi:type="dcterms:W3CDTF">2024-08-07T06:18:00Z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